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vertAlign w:val="baseline"/>
          <w:lang w:val="en-US" w:eastAsia="zh-CN"/>
        </w:rPr>
      </w:pPr>
      <w:bookmarkStart w:id="0" w:name="_GoBack"/>
      <w:bookmarkEnd w:id="0"/>
      <w:r>
        <w:rPr>
          <w:rFonts w:hint="eastAsia" w:ascii="方正公文小标宋" w:hAnsi="方正公文小标宋" w:eastAsia="方正公文小标宋" w:cs="方正公文小标宋"/>
          <w:kern w:val="0"/>
          <w:sz w:val="44"/>
          <w:szCs w:val="44"/>
          <w:lang w:val="en-US" w:eastAsia="zh-CN" w:bidi="ar"/>
        </w:rPr>
        <w:t>招标代理机构评分标准</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267"/>
        <w:gridCol w:w="8893"/>
        <w:gridCol w:w="1253"/>
        <w:gridCol w:w="936"/>
        <w:gridCol w:w="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noWrap w:val="0"/>
            <w:vAlign w:val="center"/>
          </w:tcPr>
          <w:p>
            <w:pPr>
              <w:jc w:val="center"/>
              <w:rPr>
                <w:rFonts w:hint="eastAsia"/>
                <w:lang w:val="en-US" w:eastAsia="zh-CN"/>
              </w:rPr>
            </w:pPr>
            <w:r>
              <w:rPr>
                <w:rFonts w:hint="eastAsia"/>
                <w:vertAlign w:val="baseline"/>
                <w:lang w:val="en-US" w:eastAsia="zh-CN"/>
              </w:rPr>
              <w:t>序号</w:t>
            </w:r>
          </w:p>
        </w:tc>
        <w:tc>
          <w:tcPr>
            <w:tcW w:w="1267" w:type="dxa"/>
            <w:noWrap w:val="0"/>
            <w:vAlign w:val="center"/>
          </w:tcPr>
          <w:p>
            <w:pPr>
              <w:jc w:val="center"/>
              <w:rPr>
                <w:rFonts w:hint="default" w:eastAsia="宋体"/>
                <w:vertAlign w:val="baseline"/>
                <w:lang w:val="en-US" w:eastAsia="zh-CN"/>
              </w:rPr>
            </w:pPr>
            <w:r>
              <w:rPr>
                <w:rFonts w:hint="eastAsia"/>
                <w:vertAlign w:val="baseline"/>
                <w:lang w:val="en-US" w:eastAsia="zh-CN"/>
              </w:rPr>
              <w:t>考评因素</w:t>
            </w:r>
          </w:p>
        </w:tc>
        <w:tc>
          <w:tcPr>
            <w:tcW w:w="8893" w:type="dxa"/>
            <w:noWrap w:val="0"/>
            <w:vAlign w:val="center"/>
          </w:tcPr>
          <w:p>
            <w:pPr>
              <w:jc w:val="center"/>
              <w:rPr>
                <w:rFonts w:hint="default" w:eastAsia="宋体"/>
                <w:vertAlign w:val="baseline"/>
                <w:lang w:val="en-US" w:eastAsia="zh-CN"/>
              </w:rPr>
            </w:pPr>
            <w:r>
              <w:rPr>
                <w:rFonts w:hint="eastAsia"/>
                <w:vertAlign w:val="baseline"/>
                <w:lang w:val="en-US" w:eastAsia="zh-CN"/>
              </w:rPr>
              <w:t>评分标准</w:t>
            </w:r>
          </w:p>
        </w:tc>
        <w:tc>
          <w:tcPr>
            <w:tcW w:w="1253" w:type="dxa"/>
            <w:noWrap w:val="0"/>
            <w:vAlign w:val="center"/>
          </w:tcPr>
          <w:p>
            <w:pPr>
              <w:jc w:val="center"/>
              <w:rPr>
                <w:rFonts w:hint="default" w:eastAsia="宋体"/>
                <w:vertAlign w:val="baseline"/>
                <w:lang w:val="en-US" w:eastAsia="zh-CN"/>
              </w:rPr>
            </w:pPr>
            <w:r>
              <w:rPr>
                <w:rFonts w:hint="eastAsia"/>
                <w:vertAlign w:val="baseline"/>
                <w:lang w:val="en-US" w:eastAsia="zh-CN"/>
              </w:rPr>
              <w:t>考查方式</w:t>
            </w:r>
          </w:p>
        </w:tc>
        <w:tc>
          <w:tcPr>
            <w:tcW w:w="936" w:type="dxa"/>
            <w:noWrap w:val="0"/>
            <w:vAlign w:val="center"/>
          </w:tcPr>
          <w:p>
            <w:pPr>
              <w:jc w:val="center"/>
              <w:rPr>
                <w:rFonts w:hint="default" w:eastAsia="宋体"/>
                <w:vertAlign w:val="baseline"/>
                <w:lang w:val="en-US" w:eastAsia="zh-CN"/>
              </w:rPr>
            </w:pPr>
            <w:r>
              <w:rPr>
                <w:rFonts w:hint="eastAsia"/>
                <w:vertAlign w:val="baseline"/>
                <w:lang w:val="en-US" w:eastAsia="zh-CN"/>
              </w:rPr>
              <w:t>分值</w:t>
            </w:r>
          </w:p>
        </w:tc>
        <w:tc>
          <w:tcPr>
            <w:tcW w:w="896" w:type="dxa"/>
            <w:noWrap w:val="0"/>
            <w:vAlign w:val="top"/>
          </w:tcPr>
          <w:p>
            <w:pPr>
              <w:rPr>
                <w:rFonts w:hint="eastAsia" w:eastAsia="宋体"/>
                <w:vertAlign w:val="baseline"/>
                <w:lang w:val="en-US" w:eastAsia="zh-CN"/>
              </w:rPr>
            </w:pPr>
            <w:r>
              <w:rPr>
                <w:rFonts w:hint="eastAsia"/>
                <w:vertAlign w:val="baseline"/>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748" w:type="dxa"/>
            <w:noWrap w:val="0"/>
            <w:vAlign w:val="center"/>
          </w:tcPr>
          <w:p>
            <w:pPr>
              <w:jc w:val="center"/>
              <w:rPr>
                <w:rFonts w:hint="eastAsia" w:eastAsia="宋体"/>
                <w:vertAlign w:val="baseline"/>
                <w:lang w:val="en-US" w:eastAsia="zh-CN"/>
              </w:rPr>
            </w:pPr>
            <w:r>
              <w:rPr>
                <w:rFonts w:hint="eastAsia"/>
                <w:vertAlign w:val="baseline"/>
                <w:lang w:val="en-US" w:eastAsia="zh-CN"/>
              </w:rPr>
              <w:t>1</w:t>
            </w:r>
          </w:p>
        </w:tc>
        <w:tc>
          <w:tcPr>
            <w:tcW w:w="1267" w:type="dxa"/>
            <w:noWrap w:val="0"/>
            <w:vAlign w:val="center"/>
          </w:tcPr>
          <w:p>
            <w:pPr>
              <w:jc w:val="center"/>
              <w:rPr>
                <w:rFonts w:hint="default" w:eastAsia="宋体"/>
                <w:vertAlign w:val="baseline"/>
                <w:lang w:val="en-US" w:eastAsia="zh-CN"/>
              </w:rPr>
            </w:pPr>
            <w:r>
              <w:rPr>
                <w:rFonts w:hint="eastAsia"/>
                <w:vertAlign w:val="baseline"/>
                <w:lang w:val="en-US" w:eastAsia="zh-CN"/>
              </w:rPr>
              <w:t>人员配备</w:t>
            </w:r>
          </w:p>
        </w:tc>
        <w:tc>
          <w:tcPr>
            <w:tcW w:w="8893" w:type="dxa"/>
            <w:noWrap w:val="0"/>
            <w:vAlign w:val="center"/>
          </w:tcPr>
          <w:p>
            <w:pPr>
              <w:numPr>
                <w:ilvl w:val="0"/>
                <w:numId w:val="0"/>
              </w:numPr>
              <w:jc w:val="both"/>
              <w:rPr>
                <w:rFonts w:hint="eastAsia"/>
                <w:lang w:val="en-US" w:eastAsia="zh-CN"/>
              </w:rPr>
            </w:pPr>
            <w:r>
              <w:rPr>
                <w:rFonts w:hint="eastAsia"/>
                <w:lang w:val="en-US" w:eastAsia="zh-CN"/>
              </w:rPr>
              <w:t>1.有组织评标的专业力量，代理机构专职团队人员有5人及以上得10分，否则相应得分。</w:t>
            </w:r>
          </w:p>
          <w:p>
            <w:pPr>
              <w:pStyle w:val="2"/>
              <w:ind w:left="0" w:leftChars="0" w:firstLine="0" w:firstLineChars="0"/>
              <w:rPr>
                <w:rFonts w:hint="eastAsia"/>
                <w:lang w:val="en-US" w:eastAsia="zh-CN"/>
              </w:rPr>
            </w:pPr>
            <w:r>
              <w:rPr>
                <w:rFonts w:hint="eastAsia"/>
                <w:lang w:val="en-US" w:eastAsia="zh-CN"/>
              </w:rPr>
              <w:t>2.团队人员均有政府采购培训证书得5分，否则相应得分。</w:t>
            </w:r>
          </w:p>
          <w:p>
            <w:pPr>
              <w:pStyle w:val="2"/>
              <w:ind w:left="0" w:leftChars="0" w:firstLine="0" w:firstLineChars="0"/>
              <w:rPr>
                <w:rFonts w:hint="eastAsia"/>
                <w:vertAlign w:val="baseline"/>
              </w:rPr>
            </w:pPr>
            <w:r>
              <w:rPr>
                <w:rFonts w:hint="eastAsia"/>
                <w:lang w:val="en-US" w:eastAsia="zh-CN"/>
              </w:rPr>
              <w:t>3.提供近一年社保缴纳证明得5分，否则相应得分。</w:t>
            </w:r>
          </w:p>
        </w:tc>
        <w:tc>
          <w:tcPr>
            <w:tcW w:w="1253" w:type="dxa"/>
            <w:noWrap w:val="0"/>
            <w:vAlign w:val="center"/>
          </w:tcPr>
          <w:p>
            <w:pPr>
              <w:jc w:val="center"/>
              <w:rPr>
                <w:rFonts w:hint="default" w:eastAsia="宋体"/>
                <w:vertAlign w:val="baseline"/>
                <w:lang w:val="en-US" w:eastAsia="zh-CN"/>
              </w:rPr>
            </w:pPr>
            <w:r>
              <w:rPr>
                <w:rFonts w:hint="eastAsia"/>
                <w:vertAlign w:val="baseline"/>
                <w:lang w:val="en-US" w:eastAsia="zh-CN"/>
              </w:rPr>
              <w:t>查阅资料</w:t>
            </w:r>
          </w:p>
        </w:tc>
        <w:tc>
          <w:tcPr>
            <w:tcW w:w="936" w:type="dxa"/>
            <w:noWrap w:val="0"/>
            <w:vAlign w:val="center"/>
          </w:tcPr>
          <w:p>
            <w:pPr>
              <w:jc w:val="center"/>
              <w:rPr>
                <w:rFonts w:hint="default" w:eastAsia="宋体"/>
                <w:vertAlign w:val="baseline"/>
                <w:lang w:val="en-US" w:eastAsia="zh-CN"/>
              </w:rPr>
            </w:pPr>
            <w:r>
              <w:rPr>
                <w:rFonts w:hint="eastAsia"/>
                <w:vertAlign w:val="baseline"/>
                <w:lang w:val="en-US" w:eastAsia="zh-CN"/>
              </w:rPr>
              <w:t>20</w:t>
            </w:r>
          </w:p>
        </w:tc>
        <w:tc>
          <w:tcPr>
            <w:tcW w:w="896" w:type="dxa"/>
            <w:noWrap w:val="0"/>
            <w:vAlign w:val="top"/>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noWrap w:val="0"/>
            <w:vAlign w:val="center"/>
          </w:tcPr>
          <w:p>
            <w:pPr>
              <w:jc w:val="center"/>
              <w:rPr>
                <w:rFonts w:hint="eastAsia" w:eastAsia="宋体"/>
                <w:vertAlign w:val="baseline"/>
                <w:lang w:val="en-US" w:eastAsia="zh-CN"/>
              </w:rPr>
            </w:pPr>
            <w:r>
              <w:rPr>
                <w:rFonts w:hint="eastAsia"/>
                <w:vertAlign w:val="baseline"/>
                <w:lang w:val="en-US" w:eastAsia="zh-CN"/>
              </w:rPr>
              <w:t>2</w:t>
            </w:r>
          </w:p>
        </w:tc>
        <w:tc>
          <w:tcPr>
            <w:tcW w:w="1267" w:type="dxa"/>
            <w:noWrap w:val="0"/>
            <w:vAlign w:val="center"/>
          </w:tcPr>
          <w:p>
            <w:pPr>
              <w:jc w:val="center"/>
              <w:rPr>
                <w:rFonts w:hint="default"/>
                <w:lang w:val="en-US" w:eastAsia="zh-CN"/>
              </w:rPr>
            </w:pPr>
            <w:r>
              <w:rPr>
                <w:rFonts w:hint="eastAsia"/>
                <w:vertAlign w:val="baseline"/>
                <w:lang w:val="en-US" w:eastAsia="zh-CN"/>
              </w:rPr>
              <w:t>资质与业绩</w:t>
            </w:r>
          </w:p>
        </w:tc>
        <w:tc>
          <w:tcPr>
            <w:tcW w:w="8893" w:type="dxa"/>
            <w:noWrap w:val="0"/>
            <w:vAlign w:val="center"/>
          </w:tcPr>
          <w:p>
            <w:pPr>
              <w:numPr>
                <w:ilvl w:val="0"/>
                <w:numId w:val="0"/>
              </w:numPr>
              <w:jc w:val="both"/>
              <w:rPr>
                <w:rFonts w:hint="default" w:eastAsia="宋体"/>
                <w:lang w:val="en-US" w:eastAsia="zh-CN"/>
              </w:rPr>
            </w:pPr>
            <w:r>
              <w:rPr>
                <w:rFonts w:hint="eastAsia"/>
                <w:lang w:val="en-US" w:eastAsia="zh-CN"/>
              </w:rPr>
              <w:t>上一年度代理与该项目类似项目，每提供一个得1分，最高得15分。提供委托代理协议和中标通知书的复印件，不提供不得分。</w:t>
            </w:r>
          </w:p>
        </w:tc>
        <w:tc>
          <w:tcPr>
            <w:tcW w:w="1253" w:type="dxa"/>
            <w:noWrap w:val="0"/>
            <w:vAlign w:val="center"/>
          </w:tcPr>
          <w:p>
            <w:pPr>
              <w:jc w:val="center"/>
              <w:rPr>
                <w:rFonts w:hint="default" w:eastAsia="宋体"/>
                <w:vertAlign w:val="baseline"/>
                <w:lang w:val="en-US" w:eastAsia="zh-CN"/>
              </w:rPr>
            </w:pPr>
            <w:r>
              <w:rPr>
                <w:rFonts w:hint="eastAsia"/>
                <w:vertAlign w:val="baseline"/>
                <w:lang w:val="en-US" w:eastAsia="zh-CN"/>
              </w:rPr>
              <w:t>查阅资料</w:t>
            </w:r>
          </w:p>
        </w:tc>
        <w:tc>
          <w:tcPr>
            <w:tcW w:w="936" w:type="dxa"/>
            <w:noWrap w:val="0"/>
            <w:vAlign w:val="center"/>
          </w:tcPr>
          <w:p>
            <w:pPr>
              <w:jc w:val="center"/>
              <w:rPr>
                <w:rFonts w:hint="default" w:eastAsia="宋体"/>
                <w:vertAlign w:val="baseline"/>
                <w:lang w:val="en-US" w:eastAsia="zh-CN"/>
              </w:rPr>
            </w:pPr>
            <w:r>
              <w:rPr>
                <w:rFonts w:hint="eastAsia"/>
                <w:vertAlign w:val="baseline"/>
                <w:lang w:val="en-US" w:eastAsia="zh-CN"/>
              </w:rPr>
              <w:t>15</w:t>
            </w:r>
          </w:p>
        </w:tc>
        <w:tc>
          <w:tcPr>
            <w:tcW w:w="896" w:type="dxa"/>
            <w:noWrap w:val="0"/>
            <w:vAlign w:val="top"/>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8" w:hRule="atLeast"/>
        </w:trPr>
        <w:tc>
          <w:tcPr>
            <w:tcW w:w="748" w:type="dxa"/>
            <w:noWrap w:val="0"/>
            <w:vAlign w:val="center"/>
          </w:tcPr>
          <w:p>
            <w:pPr>
              <w:jc w:val="center"/>
              <w:rPr>
                <w:rFonts w:hint="eastAsia" w:eastAsia="宋体"/>
                <w:vertAlign w:val="baseline"/>
                <w:lang w:val="en-US" w:eastAsia="zh-CN"/>
              </w:rPr>
            </w:pPr>
            <w:r>
              <w:rPr>
                <w:rFonts w:hint="eastAsia"/>
                <w:vertAlign w:val="baseline"/>
                <w:lang w:val="en-US" w:eastAsia="zh-CN"/>
              </w:rPr>
              <w:t>3</w:t>
            </w:r>
          </w:p>
        </w:tc>
        <w:tc>
          <w:tcPr>
            <w:tcW w:w="1267" w:type="dxa"/>
            <w:noWrap w:val="0"/>
            <w:vAlign w:val="center"/>
          </w:tcPr>
          <w:p>
            <w:pPr>
              <w:jc w:val="center"/>
              <w:rPr>
                <w:rFonts w:hint="default" w:eastAsia="宋体"/>
                <w:vertAlign w:val="baseline"/>
                <w:lang w:val="en-US" w:eastAsia="zh-CN"/>
              </w:rPr>
            </w:pPr>
            <w:r>
              <w:rPr>
                <w:rFonts w:hint="eastAsia"/>
                <w:vertAlign w:val="baseline"/>
                <w:lang w:val="en-US" w:eastAsia="zh-CN"/>
              </w:rPr>
              <w:t>履约能力</w:t>
            </w:r>
          </w:p>
        </w:tc>
        <w:tc>
          <w:tcPr>
            <w:tcW w:w="8893" w:type="dxa"/>
            <w:noWrap w:val="0"/>
            <w:vAlign w:val="center"/>
          </w:tcPr>
          <w:p>
            <w:pPr>
              <w:numPr>
                <w:ilvl w:val="0"/>
                <w:numId w:val="1"/>
              </w:numPr>
              <w:jc w:val="both"/>
              <w:rPr>
                <w:rFonts w:hint="eastAsia"/>
                <w:lang w:val="en-US" w:eastAsia="zh-CN"/>
              </w:rPr>
            </w:pPr>
            <w:r>
              <w:rPr>
                <w:rFonts w:hint="eastAsia"/>
                <w:lang w:val="en-US" w:eastAsia="zh-CN"/>
              </w:rPr>
              <w:t>代理机构提供本地化服务，有独立的开标室和评标室。（以租赁合同、房产证或其他有效证明材料复印件、场所照片为准）得6分，或者承诺中标后在林芝市设立有有独立的开标室和评标室和监控室得6分，否则视情况进行打分。</w:t>
            </w:r>
          </w:p>
          <w:p>
            <w:pPr>
              <w:numPr>
                <w:ilvl w:val="0"/>
                <w:numId w:val="1"/>
              </w:numPr>
              <w:jc w:val="both"/>
              <w:rPr>
                <w:rFonts w:hint="eastAsia"/>
                <w:lang w:val="en-US" w:eastAsia="zh-CN"/>
              </w:rPr>
            </w:pPr>
            <w:r>
              <w:rPr>
                <w:rFonts w:hint="eastAsia"/>
                <w:lang w:val="en-US" w:eastAsia="zh-CN"/>
              </w:rPr>
              <w:t>有监控、录音、录像设备配备齐全（以场所设置照片为准）得6分，否则视情况进行打分。</w:t>
            </w:r>
          </w:p>
          <w:p>
            <w:pPr>
              <w:numPr>
                <w:ilvl w:val="0"/>
                <w:numId w:val="1"/>
              </w:numPr>
              <w:jc w:val="both"/>
              <w:rPr>
                <w:rFonts w:hint="eastAsia"/>
                <w:lang w:val="en-US" w:eastAsia="zh-CN"/>
              </w:rPr>
            </w:pPr>
            <w:r>
              <w:rPr>
                <w:rFonts w:hint="eastAsia"/>
                <w:lang w:val="en-US" w:eastAsia="zh-CN"/>
              </w:rPr>
              <w:t>提供近二年的财务审计报告，新成立的公司提供本年度的财务报表，得8分，否则视情况进行打分。</w:t>
            </w:r>
          </w:p>
          <w:p>
            <w:pPr>
              <w:pStyle w:val="2"/>
              <w:ind w:left="0" w:leftChars="0" w:firstLine="0" w:firstLineChars="0"/>
              <w:rPr>
                <w:rFonts w:hint="default" w:eastAsia="宋体"/>
                <w:lang w:val="en-US" w:eastAsia="zh-CN"/>
              </w:rPr>
            </w:pPr>
            <w:r>
              <w:rPr>
                <w:rFonts w:hint="eastAsia"/>
                <w:lang w:val="en-US" w:eastAsia="zh-CN"/>
              </w:rPr>
              <w:t>（注：中标后采购人去现场核验后发现没有按照评标办法提供场地的人为是虚假应标，轮后或作废）</w:t>
            </w:r>
          </w:p>
        </w:tc>
        <w:tc>
          <w:tcPr>
            <w:tcW w:w="1253" w:type="dxa"/>
            <w:noWrap w:val="0"/>
            <w:vAlign w:val="center"/>
          </w:tcPr>
          <w:p>
            <w:pPr>
              <w:jc w:val="center"/>
              <w:rPr>
                <w:rFonts w:hint="default" w:eastAsia="宋体"/>
                <w:vertAlign w:val="baseline"/>
                <w:lang w:val="en-US" w:eastAsia="zh-CN"/>
              </w:rPr>
            </w:pPr>
            <w:r>
              <w:rPr>
                <w:rFonts w:hint="eastAsia"/>
                <w:vertAlign w:val="baseline"/>
                <w:lang w:val="en-US" w:eastAsia="zh-CN"/>
              </w:rPr>
              <w:t>查阅资料</w:t>
            </w:r>
          </w:p>
        </w:tc>
        <w:tc>
          <w:tcPr>
            <w:tcW w:w="936" w:type="dxa"/>
            <w:noWrap w:val="0"/>
            <w:vAlign w:val="center"/>
          </w:tcPr>
          <w:p>
            <w:pPr>
              <w:jc w:val="center"/>
              <w:rPr>
                <w:rFonts w:hint="default" w:eastAsia="宋体"/>
                <w:vertAlign w:val="baseline"/>
                <w:lang w:val="en-US" w:eastAsia="zh-CN"/>
              </w:rPr>
            </w:pPr>
            <w:r>
              <w:rPr>
                <w:rFonts w:hint="eastAsia"/>
                <w:vertAlign w:val="baseline"/>
                <w:lang w:val="en-US" w:eastAsia="zh-CN"/>
              </w:rPr>
              <w:t>20</w:t>
            </w:r>
          </w:p>
        </w:tc>
        <w:tc>
          <w:tcPr>
            <w:tcW w:w="896" w:type="dxa"/>
            <w:noWrap w:val="0"/>
            <w:vAlign w:val="top"/>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noWrap w:val="0"/>
            <w:vAlign w:val="center"/>
          </w:tcPr>
          <w:p>
            <w:pPr>
              <w:jc w:val="center"/>
              <w:rPr>
                <w:rFonts w:hint="default"/>
                <w:vertAlign w:val="baseline"/>
                <w:lang w:val="en-US" w:eastAsia="zh-CN"/>
              </w:rPr>
            </w:pPr>
            <w:r>
              <w:rPr>
                <w:rFonts w:hint="eastAsia"/>
                <w:vertAlign w:val="baseline"/>
                <w:lang w:val="en-US" w:eastAsia="zh-CN"/>
              </w:rPr>
              <w:t>4</w:t>
            </w:r>
          </w:p>
        </w:tc>
        <w:tc>
          <w:tcPr>
            <w:tcW w:w="1267" w:type="dxa"/>
            <w:noWrap w:val="0"/>
            <w:vAlign w:val="center"/>
          </w:tcPr>
          <w:p>
            <w:pPr>
              <w:jc w:val="center"/>
              <w:rPr>
                <w:rFonts w:hint="default"/>
                <w:vertAlign w:val="baseline"/>
                <w:lang w:val="en-US" w:eastAsia="zh-CN"/>
              </w:rPr>
            </w:pPr>
            <w:r>
              <w:rPr>
                <w:rFonts w:hint="eastAsia"/>
                <w:vertAlign w:val="baseline"/>
                <w:lang w:val="en-US" w:eastAsia="zh-CN"/>
              </w:rPr>
              <w:t>价格</w:t>
            </w:r>
          </w:p>
        </w:tc>
        <w:tc>
          <w:tcPr>
            <w:tcW w:w="8893" w:type="dxa"/>
            <w:noWrap w:val="0"/>
            <w:vAlign w:val="center"/>
          </w:tcPr>
          <w:p>
            <w:pPr>
              <w:jc w:val="both"/>
              <w:rPr>
                <w:rFonts w:hint="eastAsia"/>
                <w:lang w:val="en-US" w:eastAsia="zh-CN"/>
              </w:rPr>
            </w:pPr>
            <w:r>
              <w:rPr>
                <w:rFonts w:hint="eastAsia"/>
                <w:lang w:val="en-US" w:eastAsia="zh-CN"/>
              </w:rPr>
              <w:t xml:space="preserve">    将对比各招标代理机构的</w:t>
            </w:r>
            <w:r>
              <w:rPr>
                <w:rFonts w:hint="eastAsia"/>
                <w:b/>
                <w:bCs/>
                <w:color w:val="auto"/>
                <w:lang w:val="en-US" w:eastAsia="zh-CN"/>
              </w:rPr>
              <w:t>下浮系数</w:t>
            </w:r>
            <w:r>
              <w:rPr>
                <w:rFonts w:hint="eastAsia"/>
                <w:lang w:val="en-US" w:eastAsia="zh-CN"/>
              </w:rPr>
              <w:t>，下浮系数最大者得满分，其他单位的价格按以下公式计算：某单位的招标代理价格得分=（（1-下浮系数最大数）/（1-该单位报价））x20分</w:t>
            </w:r>
          </w:p>
          <w:p>
            <w:pPr>
              <w:pStyle w:val="2"/>
              <w:ind w:left="0" w:leftChars="0" w:firstLine="0" w:firstLineChars="0"/>
              <w:rPr>
                <w:rFonts w:hint="default"/>
                <w:lang w:val="en-US" w:eastAsia="zh-CN"/>
              </w:rPr>
            </w:pPr>
            <w:r>
              <w:rPr>
                <w:rFonts w:hint="eastAsia"/>
                <w:lang w:val="en-US" w:eastAsia="zh-CN"/>
              </w:rPr>
              <w:t>（注：按照《招标代理服务收费管理暂行办法》规定，收费标准按照规定执行，上下浮动幅度不超过20%，如超过则视为恶意报价，将作废）</w:t>
            </w:r>
          </w:p>
        </w:tc>
        <w:tc>
          <w:tcPr>
            <w:tcW w:w="1253" w:type="dxa"/>
            <w:noWrap w:val="0"/>
            <w:vAlign w:val="center"/>
          </w:tcPr>
          <w:p>
            <w:pPr>
              <w:jc w:val="center"/>
              <w:rPr>
                <w:rFonts w:hint="default"/>
                <w:vertAlign w:val="baseline"/>
                <w:lang w:val="en-US" w:eastAsia="zh-CN"/>
              </w:rPr>
            </w:pPr>
            <w:r>
              <w:rPr>
                <w:rFonts w:hint="eastAsia"/>
                <w:vertAlign w:val="baseline"/>
                <w:lang w:val="en-US" w:eastAsia="zh-CN"/>
              </w:rPr>
              <w:t>查阅资料</w:t>
            </w:r>
          </w:p>
        </w:tc>
        <w:tc>
          <w:tcPr>
            <w:tcW w:w="936" w:type="dxa"/>
            <w:noWrap w:val="0"/>
            <w:vAlign w:val="center"/>
          </w:tcPr>
          <w:p>
            <w:pPr>
              <w:jc w:val="center"/>
              <w:rPr>
                <w:rFonts w:hint="default" w:eastAsia="宋体"/>
                <w:vertAlign w:val="baseline"/>
                <w:lang w:val="en-US" w:eastAsia="zh-CN"/>
              </w:rPr>
            </w:pPr>
            <w:r>
              <w:rPr>
                <w:rFonts w:hint="eastAsia"/>
                <w:vertAlign w:val="baseline"/>
                <w:lang w:val="en-US" w:eastAsia="zh-CN"/>
              </w:rPr>
              <w:t>20</w:t>
            </w:r>
          </w:p>
        </w:tc>
        <w:tc>
          <w:tcPr>
            <w:tcW w:w="896" w:type="dxa"/>
            <w:noWrap w:val="0"/>
            <w:vAlign w:val="top"/>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noWrap w:val="0"/>
            <w:vAlign w:val="center"/>
          </w:tcPr>
          <w:p>
            <w:pPr>
              <w:jc w:val="center"/>
              <w:rPr>
                <w:rFonts w:hint="eastAsia" w:eastAsia="宋体"/>
                <w:vertAlign w:val="baseline"/>
                <w:lang w:val="en-US" w:eastAsia="zh-CN"/>
              </w:rPr>
            </w:pPr>
            <w:r>
              <w:rPr>
                <w:rFonts w:hint="eastAsia"/>
                <w:vertAlign w:val="baseline"/>
                <w:lang w:val="en-US" w:eastAsia="zh-CN"/>
              </w:rPr>
              <w:t>5</w:t>
            </w:r>
          </w:p>
        </w:tc>
        <w:tc>
          <w:tcPr>
            <w:tcW w:w="1267" w:type="dxa"/>
            <w:noWrap w:val="0"/>
            <w:vAlign w:val="center"/>
          </w:tcPr>
          <w:p>
            <w:pPr>
              <w:jc w:val="center"/>
              <w:rPr>
                <w:rFonts w:hint="default" w:eastAsia="宋体"/>
                <w:vertAlign w:val="baseline"/>
                <w:lang w:val="en-US" w:eastAsia="zh-CN"/>
              </w:rPr>
            </w:pPr>
            <w:r>
              <w:rPr>
                <w:rFonts w:hint="eastAsia"/>
                <w:vertAlign w:val="baseline"/>
                <w:lang w:val="en-US" w:eastAsia="zh-CN"/>
              </w:rPr>
              <w:t>服务方案</w:t>
            </w:r>
          </w:p>
        </w:tc>
        <w:tc>
          <w:tcPr>
            <w:tcW w:w="8893" w:type="dxa"/>
            <w:noWrap w:val="0"/>
            <w:vAlign w:val="center"/>
          </w:tcPr>
          <w:p>
            <w:pPr>
              <w:numPr>
                <w:ilvl w:val="0"/>
                <w:numId w:val="2"/>
              </w:numPr>
              <w:jc w:val="both"/>
              <w:rPr>
                <w:rFonts w:hint="eastAsia"/>
                <w:lang w:val="en-US" w:eastAsia="zh-CN"/>
              </w:rPr>
            </w:pPr>
            <w:r>
              <w:rPr>
                <w:rFonts w:hint="eastAsia"/>
                <w:lang w:val="en-US" w:eastAsia="zh-CN"/>
              </w:rPr>
              <w:t>招标代理工作流程及计划安排方案，优得13分，良的8分，一般得3分。</w:t>
            </w:r>
          </w:p>
          <w:p>
            <w:pPr>
              <w:numPr>
                <w:ilvl w:val="0"/>
                <w:numId w:val="0"/>
              </w:numPr>
              <w:jc w:val="both"/>
              <w:rPr>
                <w:rFonts w:hint="eastAsia"/>
                <w:lang w:val="en-US" w:eastAsia="zh-CN"/>
              </w:rPr>
            </w:pPr>
            <w:r>
              <w:rPr>
                <w:rFonts w:hint="eastAsia"/>
                <w:lang w:val="en-US" w:eastAsia="zh-CN"/>
              </w:rPr>
              <w:t>2.招标代理服务质量保证措施及内控制度方案，优得12分，良的7分，一般得3分。</w:t>
            </w:r>
          </w:p>
          <w:p>
            <w:pPr>
              <w:pStyle w:val="2"/>
              <w:numPr>
                <w:ilvl w:val="0"/>
                <w:numId w:val="0"/>
              </w:numPr>
              <w:rPr>
                <w:rFonts w:hint="default"/>
                <w:lang w:val="en-US" w:eastAsia="zh-CN"/>
              </w:rPr>
            </w:pPr>
            <w:r>
              <w:rPr>
                <w:rFonts w:hint="eastAsia"/>
                <w:lang w:val="en-US" w:eastAsia="zh-CN"/>
              </w:rPr>
              <w:t>注：包含公司简介、服务承诺、服务方案、廉政措施、保密措施、资料移交等内容。</w:t>
            </w:r>
          </w:p>
        </w:tc>
        <w:tc>
          <w:tcPr>
            <w:tcW w:w="1253" w:type="dxa"/>
            <w:noWrap w:val="0"/>
            <w:vAlign w:val="center"/>
          </w:tcPr>
          <w:p>
            <w:pPr>
              <w:jc w:val="center"/>
              <w:rPr>
                <w:rFonts w:hint="eastAsia" w:eastAsia="宋体"/>
                <w:vertAlign w:val="baseline"/>
                <w:lang w:val="en-US" w:eastAsia="zh-CN"/>
              </w:rPr>
            </w:pPr>
            <w:r>
              <w:rPr>
                <w:rFonts w:hint="eastAsia"/>
                <w:vertAlign w:val="baseline"/>
                <w:lang w:val="en-US" w:eastAsia="zh-CN"/>
              </w:rPr>
              <w:t>查阅资料</w:t>
            </w:r>
          </w:p>
        </w:tc>
        <w:tc>
          <w:tcPr>
            <w:tcW w:w="936" w:type="dxa"/>
            <w:noWrap w:val="0"/>
            <w:vAlign w:val="center"/>
          </w:tcPr>
          <w:p>
            <w:pPr>
              <w:jc w:val="center"/>
              <w:rPr>
                <w:rFonts w:hint="default" w:eastAsia="宋体"/>
                <w:vertAlign w:val="baseline"/>
                <w:lang w:val="en-US" w:eastAsia="zh-CN"/>
              </w:rPr>
            </w:pPr>
            <w:r>
              <w:rPr>
                <w:rFonts w:hint="eastAsia"/>
                <w:vertAlign w:val="baseline"/>
                <w:lang w:val="en-US" w:eastAsia="zh-CN"/>
              </w:rPr>
              <w:t>25</w:t>
            </w:r>
          </w:p>
        </w:tc>
        <w:tc>
          <w:tcPr>
            <w:tcW w:w="896" w:type="dxa"/>
            <w:noWrap w:val="0"/>
            <w:vAlign w:val="top"/>
          </w:tcPr>
          <w:p>
            <w:pPr>
              <w:rPr>
                <w:vertAlign w:val="baseline"/>
              </w:rPr>
            </w:pPr>
          </w:p>
        </w:tc>
      </w:tr>
    </w:tbl>
    <w:p/>
    <w:sectPr>
      <w:pgSz w:w="16838" w:h="11906" w:orient="landscape"/>
      <w:pgMar w:top="2098" w:right="1474" w:bottom="1984" w:left="1587"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公文小标宋">
    <w:altName w:val="方正小标宋_GBK"/>
    <w:panose1 w:val="02000500000000000000"/>
    <w:charset w:val="00"/>
    <w:family w:val="auto"/>
    <w:pitch w:val="default"/>
    <w:sig w:usb0="A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9E6AC0"/>
    <w:multiLevelType w:val="singleLevel"/>
    <w:tmpl w:val="D69E6AC0"/>
    <w:lvl w:ilvl="0" w:tentative="0">
      <w:start w:val="1"/>
      <w:numFmt w:val="decimal"/>
      <w:lvlText w:val="%1."/>
      <w:lvlJc w:val="left"/>
      <w:pPr>
        <w:tabs>
          <w:tab w:val="left" w:pos="312"/>
        </w:tabs>
      </w:pPr>
    </w:lvl>
  </w:abstractNum>
  <w:abstractNum w:abstractNumId="1">
    <w:nsid w:val="EFAE9146"/>
    <w:multiLevelType w:val="singleLevel"/>
    <w:tmpl w:val="EFAE9146"/>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EFF81D"/>
    <w:rsid w:val="135C77BA"/>
    <w:rsid w:val="2FEFF81D"/>
    <w:rsid w:val="36E30118"/>
    <w:rsid w:val="55BE71E9"/>
    <w:rsid w:val="6FAE1A53"/>
    <w:rsid w:val="ED5F3D03"/>
    <w:rsid w:val="FA7D2F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customStyle="1" w:styleId="2">
    <w:name w:val="正文首行缩进 21"/>
    <w:basedOn w:val="3"/>
    <w:qFormat/>
    <w:uiPriority w:val="0"/>
    <w:pPr>
      <w:ind w:firstLine="420" w:firstLineChars="200"/>
    </w:pPr>
  </w:style>
  <w:style w:type="paragraph" w:customStyle="1" w:styleId="3">
    <w:name w:val="正文文本缩进1"/>
    <w:basedOn w:val="1"/>
    <w:qFormat/>
    <w:uiPriority w:val="0"/>
    <w:pPr>
      <w:ind w:left="420" w:leftChars="200"/>
    </w:pPr>
  </w:style>
  <w:style w:type="table" w:styleId="5">
    <w:name w:val="Table Grid"/>
    <w:basedOn w:val="4"/>
    <w:qFormat/>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20.3333333333333</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2026-08-14T07:34:00Z</dcterms:created>
  <dc:creator>user</dc:creator>
  <cp:lastModifiedBy>user</cp:lastModifiedBy>
  <cp:lastPrinted>2026-08-14T18:41:53Z</cp:lastPrinted>
  <dcterms:modified xsi:type="dcterms:W3CDTF">2026-08-14T17:10:14Z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F587EFA12BCCBFFD69987E6A44F099A4_42</vt:lpwstr>
  </property>
</Properties>
</file>