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1A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评分细则</w:t>
      </w:r>
    </w:p>
    <w:tbl>
      <w:tblPr>
        <w:tblStyle w:val="4"/>
        <w:tblW w:w="0" w:type="auto"/>
        <w:tblInd w:w="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71"/>
        <w:gridCol w:w="950"/>
        <w:gridCol w:w="6430"/>
      </w:tblGrid>
      <w:tr w14:paraId="08AF5408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7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AA20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评分项</w:t>
            </w:r>
          </w:p>
        </w:tc>
        <w:tc>
          <w:tcPr>
            <w:tcW w:w="95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294F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分值</w:t>
            </w:r>
          </w:p>
        </w:tc>
        <w:tc>
          <w:tcPr>
            <w:tcW w:w="643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79A4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评分标准</w:t>
            </w:r>
          </w:p>
        </w:tc>
      </w:tr>
      <w:tr w14:paraId="70E11D24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7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C65A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专业资质与同类业绩</w:t>
            </w:r>
          </w:p>
        </w:tc>
        <w:tc>
          <w:tcPr>
            <w:tcW w:w="95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65B7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30分</w:t>
            </w:r>
          </w:p>
        </w:tc>
        <w:tc>
          <w:tcPr>
            <w:tcW w:w="643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B08B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1.律所成立满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年且专职律师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人以上得5分，成立满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年得3分，其余得1分；</w:t>
            </w:r>
          </w:p>
          <w:p w14:paraId="33118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2.近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年代理过国有资产/历史遗留纠纷诉讼案件，每提供1份有效裁判文书得5分，最高15分；</w:t>
            </w:r>
          </w:p>
          <w:p w14:paraId="7BA80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3.近5年有为行政机关提供诉讼代理服务业绩的，每提供1份合同得5分，最高10分。</w:t>
            </w:r>
          </w:p>
        </w:tc>
      </w:tr>
      <w:tr w14:paraId="0983529C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7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915A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案件代理服务方案</w:t>
            </w:r>
          </w:p>
        </w:tc>
        <w:tc>
          <w:tcPr>
            <w:tcW w:w="95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73D9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35分</w:t>
            </w:r>
          </w:p>
        </w:tc>
        <w:tc>
          <w:tcPr>
            <w:tcW w:w="643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E435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1.案情研判与法律关系分析准确、全面，得5-10分；</w:t>
            </w:r>
          </w:p>
          <w:p w14:paraId="5F3D6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2.代理思路清晰，诉讼请求设计合理，证据梳理方案可行，得5-10分；</w:t>
            </w:r>
          </w:p>
          <w:p w14:paraId="72AB3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3.司法鉴定应对方案、租金收益抵扣思路具备实操性，得5-8分；</w:t>
            </w:r>
          </w:p>
          <w:p w14:paraId="50B91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4.诉讼风险预判充分，应对措施具体，得3-7分。</w:t>
            </w:r>
          </w:p>
        </w:tc>
      </w:tr>
      <w:tr w14:paraId="6B082258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7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F692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服务团队配置</w:t>
            </w:r>
          </w:p>
        </w:tc>
        <w:tc>
          <w:tcPr>
            <w:tcW w:w="95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A1DD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15分</w:t>
            </w:r>
          </w:p>
        </w:tc>
        <w:tc>
          <w:tcPr>
            <w:tcW w:w="643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8748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1.主办律师执业满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年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得8分，执业满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年得4分；</w:t>
            </w:r>
          </w:p>
          <w:p w14:paraId="3596E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2.团队配备协办律师、律师助理各1名的得4分，仅配备1名协办人员得2分；</w:t>
            </w:r>
          </w:p>
          <w:p w14:paraId="2611F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3.主办律师有行政机关诉讼代理经验的得3分。</w:t>
            </w:r>
          </w:p>
        </w:tc>
      </w:tr>
      <w:tr w14:paraId="64EB7B78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7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E4CB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报价合理性</w:t>
            </w:r>
          </w:p>
        </w:tc>
        <w:tc>
          <w:tcPr>
            <w:tcW w:w="95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C20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20分</w:t>
            </w:r>
          </w:p>
        </w:tc>
        <w:tc>
          <w:tcPr>
            <w:tcW w:w="643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D5CC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满足采购需求且报价最低的为基准价，得满分20分；其他报价得分=（基准价/参选报价）×20分。</w:t>
            </w:r>
          </w:p>
          <w:p w14:paraId="6C9FD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报价超过最高限价的作无效参选处理。</w:t>
            </w:r>
          </w:p>
        </w:tc>
      </w:tr>
      <w:tr w14:paraId="5DF71F96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7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F4D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总分</w:t>
            </w:r>
          </w:p>
        </w:tc>
        <w:tc>
          <w:tcPr>
            <w:tcW w:w="95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6CD2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100分</w:t>
            </w:r>
          </w:p>
        </w:tc>
        <w:tc>
          <w:tcPr>
            <w:tcW w:w="643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6672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</w:tbl>
    <w:p w14:paraId="6775E645"/>
    <w:sectPr>
      <w:pgSz w:w="11906" w:h="16838"/>
      <w:pgMar w:top="1440" w:right="1474" w:bottom="1440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A443A3"/>
    <w:rsid w:val="02A906E9"/>
    <w:rsid w:val="09A94A34"/>
    <w:rsid w:val="2FB96318"/>
    <w:rsid w:val="34AB2DC8"/>
    <w:rsid w:val="36DB5CA6"/>
    <w:rsid w:val="4582210E"/>
    <w:rsid w:val="49885819"/>
    <w:rsid w:val="5F20199D"/>
    <w:rsid w:val="63A4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0"/>
    </w:pPr>
    <w:rPr>
      <w:rFonts w:ascii="仿宋_GB2312" w:hAnsi="仿宋_GB2312" w:eastAsia="方正小标宋简体"/>
      <w:kern w:val="44"/>
      <w:sz w:val="44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2"/>
    <w:basedOn w:val="1"/>
    <w:qFormat/>
    <w:uiPriority w:val="0"/>
    <w:pPr>
      <w:spacing w:line="576" w:lineRule="exact"/>
      <w:ind w:firstLine="880" w:firstLineChars="200"/>
    </w:pPr>
    <w:rPr>
      <w:rFonts w:eastAsia="仿宋_GB2312" w:cs="仿宋_GB2312" w:asciiTheme="minorAscii" w:hAnsiTheme="minorAscii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424</Words>
  <Characters>459</Characters>
  <Lines>0</Lines>
  <Paragraphs>0</Paragraphs>
  <TotalTime>56</TotalTime>
  <ScaleCrop>false</ScaleCrop>
  <LinksUpToDate>false</LinksUpToDate>
  <CharactersWithSpaces>459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2026-08-14T02:03:00Z</dcterms:created>
  <dc:creator>尐哥</dc:creator>
  <cp:lastModifiedBy>尐哥</cp:lastModifiedBy>
  <cp:lastPrinted>2026-08-14T02:06:00Z</cp:lastPrinted>
  <dcterms:modified xsi:type="dcterms:W3CDTF">2026-08-14T04:15:15Z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0A9636E60E8943648B629F5D306B6FAB_11</vt:lpwstr>
  </property>
  <property fmtid="{D5CDD505-2E9C-101B-9397-08002B2CF9AE}" pid="4" name="KSOTemplateDocerSaveRecord">
    <vt:lpwstr>eyJoZGlkIjoiYTYxMGFjNWY2NWQ4Y2RjYzUxZDAyZDJlYTAyMTRjZGYiLCJ1c2VySWQiOiIyODYwMzg0MTIifQ==</vt:lpwstr>
  </property>
</Properties>
</file>